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C5" w:rsidRPr="0025663D" w:rsidRDefault="005045C5" w:rsidP="00504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3D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анкетирования среди первокурсников </w:t>
      </w:r>
      <w:proofErr w:type="spellStart"/>
      <w:r w:rsidRPr="0025663D">
        <w:rPr>
          <w:rFonts w:ascii="Times New Roman" w:hAnsi="Times New Roman" w:cs="Times New Roman"/>
          <w:b/>
          <w:sz w:val="28"/>
          <w:szCs w:val="28"/>
        </w:rPr>
        <w:t>СПбГУТ</w:t>
      </w:r>
      <w:proofErr w:type="spellEnd"/>
    </w:p>
    <w:p w:rsidR="005045C5" w:rsidRPr="0025663D" w:rsidRDefault="005045C5" w:rsidP="00504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3D">
        <w:rPr>
          <w:rFonts w:ascii="Times New Roman" w:hAnsi="Times New Roman" w:cs="Times New Roman"/>
          <w:b/>
          <w:sz w:val="28"/>
          <w:szCs w:val="28"/>
        </w:rPr>
        <w:t>Изучение адаптации к учебе в вузе</w:t>
      </w:r>
    </w:p>
    <w:p w:rsidR="00590F28" w:rsidRDefault="005045C5" w:rsidP="00504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19 по 25 сентября 2016</w:t>
      </w:r>
      <w:r w:rsidRPr="00456B3C">
        <w:rPr>
          <w:rFonts w:ascii="Times New Roman" w:hAnsi="Times New Roman" w:cs="Times New Roman"/>
          <w:sz w:val="24"/>
          <w:szCs w:val="24"/>
        </w:rPr>
        <w:t xml:space="preserve"> года было проведено анкетирование первокурсников </w:t>
      </w:r>
      <w:proofErr w:type="spellStart"/>
      <w:r w:rsidRPr="00456B3C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целью изучения</w:t>
      </w:r>
      <w:r w:rsidRPr="00456B3C">
        <w:rPr>
          <w:rFonts w:ascii="Times New Roman" w:hAnsi="Times New Roman" w:cs="Times New Roman"/>
          <w:sz w:val="24"/>
          <w:szCs w:val="24"/>
        </w:rPr>
        <w:t xml:space="preserve"> адаптации к учебе в вузе. Ответственный за проведение анкетирования – психолог </w:t>
      </w:r>
      <w:proofErr w:type="spellStart"/>
      <w:r w:rsidRPr="00456B3C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456B3C">
        <w:rPr>
          <w:rFonts w:ascii="Times New Roman" w:hAnsi="Times New Roman" w:cs="Times New Roman"/>
          <w:sz w:val="24"/>
          <w:szCs w:val="24"/>
        </w:rPr>
        <w:t xml:space="preserve"> Ураева Галина Евгеньевна.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Онлайн-форма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анкеты была создана с помощью</w:t>
      </w:r>
      <w:r w:rsidR="00C40A82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распространялась</w:t>
      </w:r>
      <w:r w:rsidR="00C40A82">
        <w:rPr>
          <w:rFonts w:ascii="Times New Roman" w:hAnsi="Times New Roman" w:cs="Times New Roman"/>
          <w:sz w:val="24"/>
          <w:szCs w:val="24"/>
        </w:rPr>
        <w:t xml:space="preserve"> через интернет</w:t>
      </w:r>
      <w:r>
        <w:rPr>
          <w:rFonts w:ascii="Times New Roman" w:hAnsi="Times New Roman" w:cs="Times New Roman"/>
          <w:sz w:val="24"/>
          <w:szCs w:val="24"/>
        </w:rPr>
        <w:t xml:space="preserve"> в виде ссылки</w:t>
      </w:r>
      <w:r w:rsidR="008F1B8A">
        <w:rPr>
          <w:rFonts w:ascii="Times New Roman" w:hAnsi="Times New Roman" w:cs="Times New Roman"/>
          <w:sz w:val="24"/>
          <w:szCs w:val="24"/>
        </w:rPr>
        <w:t xml:space="preserve"> на анкету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56B3C">
        <w:rPr>
          <w:rFonts w:ascii="Times New Roman" w:hAnsi="Times New Roman" w:cs="Times New Roman"/>
          <w:sz w:val="24"/>
          <w:szCs w:val="24"/>
        </w:rPr>
        <w:t xml:space="preserve"> Информирование об анкетировании осуществлялось с пом</w:t>
      </w:r>
      <w:r>
        <w:rPr>
          <w:rFonts w:ascii="Times New Roman" w:hAnsi="Times New Roman" w:cs="Times New Roman"/>
          <w:sz w:val="24"/>
          <w:szCs w:val="24"/>
        </w:rPr>
        <w:t>ощью кураторов первокурсников</w:t>
      </w:r>
      <w:r w:rsidR="00C40A8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B3C">
        <w:rPr>
          <w:rFonts w:ascii="Times New Roman" w:hAnsi="Times New Roman" w:cs="Times New Roman"/>
          <w:sz w:val="24"/>
          <w:szCs w:val="24"/>
        </w:rPr>
        <w:t>заместителей деканов по воспитательной работе.</w:t>
      </w:r>
      <w:r w:rsidR="008F1B8A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8F1B8A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размещена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видеопанелях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зданиях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56B3C">
        <w:rPr>
          <w:rFonts w:ascii="Times New Roman" w:hAnsi="Times New Roman" w:cs="Times New Roman"/>
          <w:sz w:val="24"/>
          <w:szCs w:val="24"/>
        </w:rPr>
        <w:t xml:space="preserve"> Участие в анкетировании было добровольным и </w:t>
      </w:r>
      <w:r>
        <w:rPr>
          <w:rFonts w:ascii="Times New Roman" w:hAnsi="Times New Roman" w:cs="Times New Roman"/>
          <w:sz w:val="24"/>
          <w:szCs w:val="24"/>
        </w:rPr>
        <w:t>конфиденциальным</w:t>
      </w:r>
      <w:r w:rsidRPr="00456B3C">
        <w:rPr>
          <w:rFonts w:ascii="Times New Roman" w:hAnsi="Times New Roman" w:cs="Times New Roman"/>
          <w:sz w:val="24"/>
          <w:szCs w:val="24"/>
        </w:rPr>
        <w:t>.</w:t>
      </w:r>
    </w:p>
    <w:p w:rsidR="00DA3DAB" w:rsidRDefault="00DA3DAB" w:rsidP="00504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559 студентов первого курса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Распределение по факультетам выглядит следующим образом:</w:t>
      </w:r>
    </w:p>
    <w:p w:rsidR="00DA3DAB" w:rsidRDefault="00DA3DAB" w:rsidP="00DA3DAB">
      <w:pPr>
        <w:jc w:val="both"/>
      </w:pPr>
      <w:r w:rsidRPr="00DA3DAB">
        <w:drawing>
          <wp:inline distT="0" distB="0" distL="0" distR="0">
            <wp:extent cx="5940425" cy="2743200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A3DAB" w:rsidRPr="00DA3DAB" w:rsidRDefault="00DA3DAB" w:rsidP="00DA3D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3DAB">
        <w:rPr>
          <w:rFonts w:ascii="Times New Roman" w:hAnsi="Times New Roman" w:cs="Times New Roman"/>
          <w:sz w:val="24"/>
          <w:szCs w:val="24"/>
        </w:rPr>
        <w:t>Первокурсники, принявшие участие в анкетировании, проживают, в основном, дома с родителями, в общежитии или снимают жилье частным образом:</w:t>
      </w:r>
    </w:p>
    <w:p w:rsidR="00DA3DAB" w:rsidRDefault="00DA3DAB" w:rsidP="00DA3DAB">
      <w:pPr>
        <w:jc w:val="both"/>
      </w:pPr>
      <w:r w:rsidRPr="00DA3DAB">
        <w:drawing>
          <wp:inline distT="0" distB="0" distL="0" distR="0">
            <wp:extent cx="5940425" cy="2677374"/>
            <wp:effectExtent l="19050" t="0" r="22225" b="867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3DAB" w:rsidRDefault="00221C7D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166 человек сообщили о проживании в общежитии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хостеле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221C7D" w:rsidRDefault="00221C7D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 w:rsidRPr="00221C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00775" cy="44196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40A82" w:rsidRDefault="00C40A82" w:rsidP="00DA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C7D" w:rsidRDefault="00C40A82" w:rsidP="00C40A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студентам были заданы вопросы о том, насколько комфортно они чувствуют себя в настоящее время. </w:t>
      </w:r>
      <w:r w:rsidR="00221C7D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8F1B8A">
        <w:rPr>
          <w:rFonts w:ascii="Times New Roman" w:hAnsi="Times New Roman" w:cs="Times New Roman"/>
          <w:sz w:val="24"/>
          <w:szCs w:val="24"/>
        </w:rPr>
        <w:t>респондентов</w:t>
      </w:r>
      <w:r>
        <w:rPr>
          <w:rFonts w:ascii="Times New Roman" w:hAnsi="Times New Roman" w:cs="Times New Roman"/>
          <w:sz w:val="24"/>
          <w:szCs w:val="24"/>
        </w:rPr>
        <w:t xml:space="preserve"> оказались</w:t>
      </w:r>
      <w:r w:rsidR="00221C7D">
        <w:rPr>
          <w:rFonts w:ascii="Times New Roman" w:hAnsi="Times New Roman" w:cs="Times New Roman"/>
          <w:sz w:val="24"/>
          <w:szCs w:val="24"/>
        </w:rPr>
        <w:t xml:space="preserve"> довольны статусом студента</w:t>
      </w:r>
      <w:r w:rsidR="00876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1E9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8761E9">
        <w:rPr>
          <w:rFonts w:ascii="Times New Roman" w:hAnsi="Times New Roman" w:cs="Times New Roman"/>
          <w:sz w:val="24"/>
          <w:szCs w:val="24"/>
        </w:rPr>
        <w:t>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 xml:space="preserve">Довольны ли Вы тем, что являетесь студентом </w:t>
      </w:r>
      <w:proofErr w:type="spellStart"/>
      <w:r w:rsidRPr="008761E9">
        <w:rPr>
          <w:rFonts w:ascii="Times New Roman" w:hAnsi="Times New Roman" w:cs="Times New Roman"/>
          <w:i/>
          <w:sz w:val="24"/>
          <w:szCs w:val="24"/>
        </w:rPr>
        <w:t>СПбГУТ</w:t>
      </w:r>
      <w:proofErr w:type="spellEnd"/>
      <w:r w:rsidRPr="008761E9">
        <w:rPr>
          <w:rFonts w:ascii="Times New Roman" w:hAnsi="Times New Roman" w:cs="Times New Roman"/>
          <w:i/>
          <w:sz w:val="24"/>
          <w:szCs w:val="24"/>
        </w:rPr>
        <w:t>?</w:t>
      </w:r>
    </w:p>
    <w:p w:rsidR="003523A2" w:rsidRDefault="00221C7D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 w:rsidRPr="00221C7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200775" cy="27432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23A2" w:rsidRDefault="003523A2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Большинство студентов первого курса чу</w:t>
      </w:r>
      <w:r w:rsidR="008761E9">
        <w:rPr>
          <w:rFonts w:ascii="Times New Roman" w:hAnsi="Times New Roman" w:cs="Times New Roman"/>
          <w:sz w:val="24"/>
          <w:szCs w:val="24"/>
        </w:rPr>
        <w:t xml:space="preserve">вствуют себя комфортно в </w:t>
      </w:r>
      <w:proofErr w:type="spellStart"/>
      <w:r w:rsidR="008761E9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="008761E9">
        <w:rPr>
          <w:rFonts w:ascii="Times New Roman" w:hAnsi="Times New Roman" w:cs="Times New Roman"/>
          <w:sz w:val="24"/>
          <w:szCs w:val="24"/>
        </w:rPr>
        <w:t>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 xml:space="preserve">Насколько комфортно Вы чувствуете себя в </w:t>
      </w:r>
      <w:proofErr w:type="spellStart"/>
      <w:r w:rsidRPr="008761E9">
        <w:rPr>
          <w:rFonts w:ascii="Times New Roman" w:hAnsi="Times New Roman" w:cs="Times New Roman"/>
          <w:i/>
          <w:sz w:val="24"/>
          <w:szCs w:val="24"/>
        </w:rPr>
        <w:t>СПбГУТ</w:t>
      </w:r>
      <w:proofErr w:type="spellEnd"/>
      <w:r w:rsidRPr="008761E9">
        <w:rPr>
          <w:rFonts w:ascii="Times New Roman" w:hAnsi="Times New Roman" w:cs="Times New Roman"/>
          <w:i/>
          <w:sz w:val="24"/>
          <w:szCs w:val="24"/>
        </w:rPr>
        <w:t>?</w:t>
      </w:r>
    </w:p>
    <w:p w:rsidR="003523A2" w:rsidRDefault="003523A2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 w:rsidRPr="003523A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215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5419" w:rsidRDefault="00A65419" w:rsidP="00DA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419" w:rsidRDefault="00A65419" w:rsidP="00DA3D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3A2" w:rsidRDefault="003523A2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большинство студентов чувствуют себя к</w:t>
      </w:r>
      <w:r w:rsidR="008761E9">
        <w:rPr>
          <w:rFonts w:ascii="Times New Roman" w:hAnsi="Times New Roman" w:cs="Times New Roman"/>
          <w:sz w:val="24"/>
          <w:szCs w:val="24"/>
        </w:rPr>
        <w:t>омфортно в своей учебной группе.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>Насколько комфортно Вы чувствуете себя в Вашей учебной группе?</w:t>
      </w:r>
    </w:p>
    <w:p w:rsidR="003523A2" w:rsidRDefault="003523A2" w:rsidP="00DA3DAB">
      <w:pPr>
        <w:jc w:val="both"/>
        <w:rPr>
          <w:rFonts w:ascii="Times New Roman" w:hAnsi="Times New Roman" w:cs="Times New Roman"/>
          <w:sz w:val="24"/>
          <w:szCs w:val="24"/>
        </w:rPr>
      </w:pPr>
      <w:r w:rsidRPr="003523A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7215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5419" w:rsidRDefault="00A65419" w:rsidP="00A65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19" w:rsidRDefault="00A65419" w:rsidP="00A65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19" w:rsidRDefault="00A65419" w:rsidP="00A65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19" w:rsidRDefault="00A65419" w:rsidP="008761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3A2" w:rsidRDefault="00A65419" w:rsidP="00A6541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Около половины опрошенных студентов испытывают некоторые трудности в адаптации к учебе в вузе. Но это вполне естественно, так как </w:t>
      </w:r>
      <w:r w:rsidR="00C40A82">
        <w:rPr>
          <w:rFonts w:ascii="Times New Roman" w:hAnsi="Times New Roman" w:cs="Times New Roman"/>
          <w:sz w:val="24"/>
          <w:szCs w:val="24"/>
        </w:rPr>
        <w:t xml:space="preserve">адаптация – это процесс, который занимает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1B8A">
        <w:rPr>
          <w:rFonts w:ascii="Times New Roman" w:hAnsi="Times New Roman" w:cs="Times New Roman"/>
          <w:sz w:val="24"/>
          <w:szCs w:val="24"/>
        </w:rPr>
        <w:t>екоторое время. Учитывая время проведения анкетирования – третья учебная неделя – п</w:t>
      </w:r>
      <w:r>
        <w:rPr>
          <w:rFonts w:ascii="Times New Roman" w:hAnsi="Times New Roman" w:cs="Times New Roman"/>
          <w:sz w:val="24"/>
          <w:szCs w:val="24"/>
        </w:rPr>
        <w:t>олученные результаты являются нормальными.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 xml:space="preserve">Трудно ли Вам привыкать к учебе в </w:t>
      </w:r>
      <w:proofErr w:type="spellStart"/>
      <w:r w:rsidRPr="008761E9">
        <w:rPr>
          <w:rFonts w:ascii="Times New Roman" w:hAnsi="Times New Roman" w:cs="Times New Roman"/>
          <w:i/>
          <w:sz w:val="24"/>
          <w:szCs w:val="24"/>
        </w:rPr>
        <w:t>СПбГУТ</w:t>
      </w:r>
      <w:proofErr w:type="spellEnd"/>
      <w:r w:rsidRPr="008761E9">
        <w:rPr>
          <w:rFonts w:ascii="Times New Roman" w:hAnsi="Times New Roman" w:cs="Times New Roman"/>
          <w:i/>
          <w:sz w:val="24"/>
          <w:szCs w:val="24"/>
        </w:rPr>
        <w:t>?</w:t>
      </w:r>
    </w:p>
    <w:p w:rsidR="00A65419" w:rsidRDefault="00A65419" w:rsidP="00A65419">
      <w:pPr>
        <w:jc w:val="both"/>
        <w:rPr>
          <w:rFonts w:ascii="Times New Roman" w:hAnsi="Times New Roman" w:cs="Times New Roman"/>
          <w:sz w:val="24"/>
          <w:szCs w:val="24"/>
        </w:rPr>
      </w:pPr>
      <w:r w:rsidRPr="00A6541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2743200"/>
            <wp:effectExtent l="19050" t="0" r="222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61E9" w:rsidRDefault="008761E9" w:rsidP="008A6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419" w:rsidRDefault="008A6C56" w:rsidP="008A6C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числе нерешенных вопросов по организации студенческой жизни наиболее часто респонденты отмечали оформление пропуска в университет, а также регистрацию и постановку </w:t>
      </w:r>
      <w:r w:rsidR="008761E9">
        <w:rPr>
          <w:rFonts w:ascii="Times New Roman" w:hAnsi="Times New Roman" w:cs="Times New Roman"/>
          <w:sz w:val="24"/>
          <w:szCs w:val="24"/>
        </w:rPr>
        <w:t>на воинский учет.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>Остались ли у Вас какие-либо нерешенные вопросы по организации студенческой жизни (отметьте все подходящие варианты)?</w:t>
      </w:r>
    </w:p>
    <w:p w:rsidR="008A6C56" w:rsidRDefault="008A6C56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 w:rsidRPr="008A6C5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3167941"/>
            <wp:effectExtent l="19050" t="0" r="222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6C56" w:rsidRDefault="008A6C56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C56" w:rsidRDefault="008761E9" w:rsidP="00876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Питаются студенты чаще всего дома, но также достаточно часто в кафе и в университетской столовой.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>Где Вы питаетесь (отметьте все подходящие варианты)?</w:t>
      </w:r>
    </w:p>
    <w:p w:rsidR="008761E9" w:rsidRDefault="008761E9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9595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761E9" w:rsidRDefault="008761E9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1E9" w:rsidRDefault="008761E9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четверти опрошенны</w:t>
      </w:r>
      <w:r w:rsidR="00C40A82">
        <w:rPr>
          <w:rFonts w:ascii="Times New Roman" w:hAnsi="Times New Roman" w:cs="Times New Roman"/>
          <w:sz w:val="24"/>
          <w:szCs w:val="24"/>
        </w:rPr>
        <w:t>х не имеют проблем со здоровьем.</w:t>
      </w:r>
    </w:p>
    <w:p w:rsidR="008761E9" w:rsidRPr="008761E9" w:rsidRDefault="008761E9" w:rsidP="008761E9">
      <w:pPr>
        <w:rPr>
          <w:rFonts w:ascii="Times New Roman" w:hAnsi="Times New Roman" w:cs="Times New Roman"/>
          <w:i/>
          <w:sz w:val="24"/>
          <w:szCs w:val="24"/>
        </w:rPr>
      </w:pPr>
      <w:r w:rsidRPr="008761E9">
        <w:rPr>
          <w:rFonts w:ascii="Times New Roman" w:hAnsi="Times New Roman" w:cs="Times New Roman"/>
          <w:i/>
          <w:sz w:val="24"/>
          <w:szCs w:val="24"/>
        </w:rPr>
        <w:t>Есть ли у Вас какие-либо проблемы со здоровьем?</w:t>
      </w:r>
    </w:p>
    <w:p w:rsidR="008761E9" w:rsidRDefault="008761E9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 w:rsidRPr="008761E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2625" cy="2743200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761E9" w:rsidRDefault="008761E9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19B" w:rsidRDefault="00BF719B" w:rsidP="00BF7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Студенты первого курса, проживающие в общежитиях, считают наиболее актуальными проблемы с привыканием к бытовым условиям общежития и материальные трудности.</w:t>
      </w:r>
    </w:p>
    <w:p w:rsidR="00BF719B" w:rsidRPr="00BF719B" w:rsidRDefault="00BF719B" w:rsidP="00BF719B">
      <w:pPr>
        <w:rPr>
          <w:rFonts w:ascii="Times New Roman" w:hAnsi="Times New Roman" w:cs="Times New Roman"/>
          <w:i/>
          <w:sz w:val="24"/>
          <w:szCs w:val="24"/>
        </w:rPr>
      </w:pPr>
      <w:r w:rsidRPr="00BF719B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proofErr w:type="gramStart"/>
      <w:r w:rsidRPr="00BF719B">
        <w:rPr>
          <w:rFonts w:ascii="Times New Roman" w:hAnsi="Times New Roman" w:cs="Times New Roman"/>
          <w:i/>
          <w:sz w:val="24"/>
          <w:szCs w:val="24"/>
        </w:rPr>
        <w:t>проживающих</w:t>
      </w:r>
      <w:proofErr w:type="gramEnd"/>
      <w:r w:rsidRPr="00BF719B">
        <w:rPr>
          <w:rFonts w:ascii="Times New Roman" w:hAnsi="Times New Roman" w:cs="Times New Roman"/>
          <w:i/>
          <w:sz w:val="24"/>
          <w:szCs w:val="24"/>
        </w:rPr>
        <w:t xml:space="preserve"> в общежитии) Какие проблемы наиболее актуальные?</w:t>
      </w: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 w:rsidRPr="00BF719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53150" cy="40576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F719B" w:rsidRDefault="00BF719B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1D9" w:rsidRDefault="000861D9" w:rsidP="000861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завершение анкетирования студентам было предложено ответить на два открытых вопроса. Среди предоставленных ответов на вопрос </w:t>
      </w:r>
      <w:r w:rsidRPr="006313B5">
        <w:rPr>
          <w:rFonts w:ascii="Times New Roman" w:hAnsi="Times New Roman" w:cs="Times New Roman"/>
          <w:i/>
          <w:sz w:val="24"/>
          <w:szCs w:val="24"/>
        </w:rPr>
        <w:t>«Что может помочь Вам успешно справляться с учебой?»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3B5">
        <w:rPr>
          <w:rFonts w:ascii="Times New Roman" w:hAnsi="Times New Roman" w:cs="Times New Roman"/>
          <w:sz w:val="24"/>
          <w:szCs w:val="24"/>
        </w:rPr>
        <w:t>преобладают следующие варианты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861D9" w:rsidRPr="000861D9" w:rsidRDefault="000861D9" w:rsidP="000861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D9">
        <w:rPr>
          <w:rFonts w:ascii="Times New Roman" w:hAnsi="Times New Roman" w:cs="Times New Roman"/>
          <w:sz w:val="24"/>
          <w:szCs w:val="24"/>
        </w:rPr>
        <w:t>Сила воли/мотивация/я сам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1D9" w:rsidRPr="000861D9" w:rsidRDefault="000861D9" w:rsidP="000861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D9">
        <w:rPr>
          <w:rFonts w:ascii="Times New Roman" w:hAnsi="Times New Roman" w:cs="Times New Roman"/>
          <w:sz w:val="24"/>
          <w:szCs w:val="24"/>
        </w:rPr>
        <w:t xml:space="preserve">Помощь/поддержка/советы кого-либо (друзей, </w:t>
      </w:r>
      <w:proofErr w:type="spellStart"/>
      <w:r w:rsidRPr="000861D9">
        <w:rPr>
          <w:rFonts w:ascii="Times New Roman" w:hAnsi="Times New Roman" w:cs="Times New Roman"/>
          <w:sz w:val="24"/>
          <w:szCs w:val="24"/>
        </w:rPr>
        <w:t>одногруппников</w:t>
      </w:r>
      <w:proofErr w:type="spellEnd"/>
      <w:r w:rsidRPr="000861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1D9" w:rsidRPr="000861D9" w:rsidRDefault="000861D9" w:rsidP="000861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D9">
        <w:rPr>
          <w:rFonts w:ascii="Times New Roman" w:hAnsi="Times New Roman" w:cs="Times New Roman"/>
          <w:sz w:val="24"/>
          <w:szCs w:val="24"/>
        </w:rPr>
        <w:t>Преподаватели/удобное расписание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1D9" w:rsidRPr="000861D9" w:rsidRDefault="000861D9" w:rsidP="000861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D9">
        <w:rPr>
          <w:rFonts w:ascii="Times New Roman" w:hAnsi="Times New Roman" w:cs="Times New Roman"/>
          <w:sz w:val="24"/>
          <w:szCs w:val="24"/>
        </w:rPr>
        <w:t>Большее количество времени в сутках/меньшая загруженность на учебе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1D9" w:rsidRPr="000861D9" w:rsidRDefault="000861D9" w:rsidP="000861D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1D9">
        <w:rPr>
          <w:rFonts w:ascii="Times New Roman" w:hAnsi="Times New Roman" w:cs="Times New Roman"/>
          <w:sz w:val="24"/>
          <w:szCs w:val="24"/>
        </w:rPr>
        <w:t>Заселение в общежитие/стипендия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1D9" w:rsidRDefault="000861D9" w:rsidP="000861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</w:t>
      </w:r>
      <w:r w:rsidR="006313B5">
        <w:rPr>
          <w:rFonts w:ascii="Times New Roman" w:hAnsi="Times New Roman" w:cs="Times New Roman"/>
          <w:sz w:val="24"/>
          <w:szCs w:val="24"/>
        </w:rPr>
        <w:t>шое количество студентов понимае</w:t>
      </w:r>
      <w:r>
        <w:rPr>
          <w:rFonts w:ascii="Times New Roman" w:hAnsi="Times New Roman" w:cs="Times New Roman"/>
          <w:sz w:val="24"/>
          <w:szCs w:val="24"/>
        </w:rPr>
        <w:t xml:space="preserve">т, что, по большей части, успехи в обучении зависят от них самих – от их отношения к учебе и от количества прилагаемых усилий. 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же время достаточно много студентов отмечают различные внешние условия, которые могут им помочь. С одной стороны, необходимы комфортные условия для </w:t>
      </w:r>
      <w:r w:rsidR="002A6988">
        <w:rPr>
          <w:rFonts w:ascii="Times New Roman" w:hAnsi="Times New Roman" w:cs="Times New Roman"/>
          <w:sz w:val="24"/>
          <w:szCs w:val="24"/>
        </w:rPr>
        <w:t xml:space="preserve">эффективного обучения – как минимум, комфортное проживание и регулярное питание. Если эти условия не выполняются, студенту может не хватать энергии и сил на учебу. С другой стороны, успешное обучение – это сочетание различных факторов, как внешних, так и внутренних, где важен некий баланс. Если студент перекладывает ответственность </w:t>
      </w:r>
      <w:r w:rsidR="002A6988">
        <w:rPr>
          <w:rFonts w:ascii="Times New Roman" w:hAnsi="Times New Roman" w:cs="Times New Roman"/>
          <w:sz w:val="24"/>
          <w:szCs w:val="24"/>
        </w:rPr>
        <w:lastRenderedPageBreak/>
        <w:t>за результат своего обучения исключительно на внешние факторы, не зависящие от него, успех маловероятен, так как обучение – это, прежде всего, индивидуальный внутренний процесс.</w:t>
      </w:r>
      <w:r w:rsidR="00072C97">
        <w:rPr>
          <w:rFonts w:ascii="Times New Roman" w:hAnsi="Times New Roman" w:cs="Times New Roman"/>
          <w:sz w:val="24"/>
          <w:szCs w:val="24"/>
        </w:rPr>
        <w:t xml:space="preserve"> Стоит обратить внимание также на ответы, связанные с нехваткой времени – популярность таких ответов может отражать неумение планировать свое время, либо непонимание своих целей и приоритетов.</w:t>
      </w:r>
    </w:p>
    <w:p w:rsidR="00BF719B" w:rsidRDefault="006313B5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Ответы на следующий открытый вопрос </w:t>
      </w:r>
      <w:r w:rsidRPr="006313B5">
        <w:rPr>
          <w:rFonts w:ascii="Times New Roman" w:hAnsi="Times New Roman" w:cs="Times New Roman"/>
          <w:i/>
          <w:sz w:val="24"/>
          <w:szCs w:val="24"/>
        </w:rPr>
        <w:t xml:space="preserve">«Что может </w:t>
      </w:r>
      <w:proofErr w:type="gramStart"/>
      <w:r w:rsidRPr="006313B5">
        <w:rPr>
          <w:rFonts w:ascii="Times New Roman" w:hAnsi="Times New Roman" w:cs="Times New Roman"/>
          <w:i/>
          <w:sz w:val="24"/>
          <w:szCs w:val="24"/>
        </w:rPr>
        <w:t>помешать Вам успешно справляться</w:t>
      </w:r>
      <w:proofErr w:type="gramEnd"/>
      <w:r w:rsidRPr="006313B5">
        <w:rPr>
          <w:rFonts w:ascii="Times New Roman" w:hAnsi="Times New Roman" w:cs="Times New Roman"/>
          <w:i/>
          <w:sz w:val="24"/>
          <w:szCs w:val="24"/>
        </w:rPr>
        <w:t xml:space="preserve"> с учебой»</w:t>
      </w:r>
      <w:r>
        <w:rPr>
          <w:rFonts w:ascii="Times New Roman" w:hAnsi="Times New Roman" w:cs="Times New Roman"/>
          <w:sz w:val="24"/>
          <w:szCs w:val="24"/>
        </w:rPr>
        <w:t xml:space="preserve"> распределяются по категориям по аналогии с предыдущим и подтв</w:t>
      </w:r>
      <w:r w:rsidR="00BB24E3">
        <w:rPr>
          <w:rFonts w:ascii="Times New Roman" w:hAnsi="Times New Roman" w:cs="Times New Roman"/>
          <w:sz w:val="24"/>
          <w:szCs w:val="24"/>
        </w:rPr>
        <w:t>ерждают выводы, сделанные выше.</w:t>
      </w:r>
    </w:p>
    <w:p w:rsidR="008F1B8A" w:rsidRDefault="00BB24E3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4E3" w:rsidRDefault="00BB24E3" w:rsidP="008A6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анкетирования можно сделать следующие </w:t>
      </w:r>
      <w:r w:rsidRPr="008F1B8A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24E3" w:rsidRPr="00BB24E3" w:rsidRDefault="00BB24E3" w:rsidP="00BB24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E3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8F1B8A">
        <w:rPr>
          <w:rFonts w:ascii="Times New Roman" w:hAnsi="Times New Roman" w:cs="Times New Roman"/>
          <w:sz w:val="24"/>
          <w:szCs w:val="24"/>
        </w:rPr>
        <w:t>проведения анкетирования</w:t>
      </w:r>
      <w:r w:rsidRPr="00BB24E3">
        <w:rPr>
          <w:rFonts w:ascii="Times New Roman" w:hAnsi="Times New Roman" w:cs="Times New Roman"/>
          <w:sz w:val="24"/>
          <w:szCs w:val="24"/>
        </w:rPr>
        <w:t xml:space="preserve"> большинство студентов довольны своим поступлением в </w:t>
      </w:r>
      <w:proofErr w:type="spellStart"/>
      <w:r w:rsidRPr="00BB24E3">
        <w:rPr>
          <w:rFonts w:ascii="Times New Roman" w:hAnsi="Times New Roman" w:cs="Times New Roman"/>
          <w:sz w:val="24"/>
          <w:szCs w:val="24"/>
        </w:rPr>
        <w:t>СПбГУТ</w:t>
      </w:r>
      <w:proofErr w:type="spellEnd"/>
      <w:r w:rsidRPr="00BB24E3">
        <w:rPr>
          <w:rFonts w:ascii="Times New Roman" w:hAnsi="Times New Roman" w:cs="Times New Roman"/>
          <w:sz w:val="24"/>
          <w:szCs w:val="24"/>
        </w:rPr>
        <w:t xml:space="preserve"> и чувствуют себя в вузе и в своей учебной группе достаточно комфортно.</w:t>
      </w:r>
    </w:p>
    <w:p w:rsidR="00BB24E3" w:rsidRPr="00BB24E3" w:rsidRDefault="00BB24E3" w:rsidP="00BB24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E3">
        <w:rPr>
          <w:rFonts w:ascii="Times New Roman" w:hAnsi="Times New Roman" w:cs="Times New Roman"/>
          <w:sz w:val="24"/>
          <w:szCs w:val="24"/>
        </w:rPr>
        <w:t>Процесс адаптации студентов первого курса к учебе в вузе, в целом, проходит нормально. Для помощи в адаптации студентам, испытывающим сложности, психологической службой будут организованы специальные семинары.</w:t>
      </w:r>
    </w:p>
    <w:p w:rsidR="00BB24E3" w:rsidRPr="00BB24E3" w:rsidRDefault="00BB24E3" w:rsidP="00BB24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E3">
        <w:rPr>
          <w:rFonts w:ascii="Times New Roman" w:hAnsi="Times New Roman" w:cs="Times New Roman"/>
          <w:sz w:val="24"/>
          <w:szCs w:val="24"/>
        </w:rPr>
        <w:t>Существуют определенные сложности в организации студенческой жизни, которые могут создавать дискомфорт и негативно влиять на успеваемость (длительное оформление документов, необходимых студентам; нехватка общежитий и некомфортные условия проживания в сторонних общежитиях).</w:t>
      </w:r>
    </w:p>
    <w:p w:rsidR="00BB24E3" w:rsidRDefault="00BB24E3" w:rsidP="00BB24E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4E3">
        <w:rPr>
          <w:rFonts w:ascii="Times New Roman" w:hAnsi="Times New Roman" w:cs="Times New Roman"/>
          <w:sz w:val="24"/>
          <w:szCs w:val="24"/>
        </w:rPr>
        <w:t xml:space="preserve">Актуальными для первокурсников являются вопросы мотивации, </w:t>
      </w:r>
      <w:proofErr w:type="spellStart"/>
      <w:r w:rsidRPr="00BB24E3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BB24E3">
        <w:rPr>
          <w:rFonts w:ascii="Times New Roman" w:hAnsi="Times New Roman" w:cs="Times New Roman"/>
          <w:sz w:val="24"/>
          <w:szCs w:val="24"/>
        </w:rPr>
        <w:t xml:space="preserve"> и организации своего времени – психологической службой будут проведены семинары на данные темы.</w:t>
      </w:r>
    </w:p>
    <w:p w:rsidR="00BB24E3" w:rsidRPr="00BB24E3" w:rsidRDefault="00BB24E3" w:rsidP="00BB24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24E3" w:rsidRPr="00DA3DAB" w:rsidRDefault="00BB24E3" w:rsidP="008A6C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4E3" w:rsidRPr="00DA3DAB" w:rsidSect="0059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2DC"/>
    <w:multiLevelType w:val="hybridMultilevel"/>
    <w:tmpl w:val="B7745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353B7"/>
    <w:multiLevelType w:val="hybridMultilevel"/>
    <w:tmpl w:val="8FC6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C5"/>
    <w:rsid w:val="00072C97"/>
    <w:rsid w:val="000861D9"/>
    <w:rsid w:val="00221C7D"/>
    <w:rsid w:val="002A6988"/>
    <w:rsid w:val="003523A2"/>
    <w:rsid w:val="005045C5"/>
    <w:rsid w:val="00590F28"/>
    <w:rsid w:val="006313B5"/>
    <w:rsid w:val="0078624C"/>
    <w:rsid w:val="008761E9"/>
    <w:rsid w:val="008A6C56"/>
    <w:rsid w:val="008F1B8A"/>
    <w:rsid w:val="00A65419"/>
    <w:rsid w:val="00BB24E3"/>
    <w:rsid w:val="00BF719B"/>
    <w:rsid w:val="00C40A82"/>
    <w:rsid w:val="00DA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1;&#1086;&#1085;&#1095;\2016-2017%20&#1056;&#1072;&#1073;&#1086;&#1095;&#1077;&#1077;\&#1040;&#1085;&#1082;&#1077;&#1090;&#1099;\&#1040;&#1085;&#1082;&#1077;&#1090;&#1072;%20&#1076;&#1083;&#1103;%20&#1087;&#1077;&#1088;&#1074;&#1086;&#1082;&#1091;&#1088;&#1089;&#1085;&#1080;&#1082;&#1086;&#1074;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Факультет!$C$2:$C$8</c:f>
              <c:strCache>
                <c:ptCount val="7"/>
                <c:pt idx="0">
                  <c:v>ИКСС 46%</c:v>
                </c:pt>
                <c:pt idx="1">
                  <c:v>РТС 24,7%</c:v>
                </c:pt>
                <c:pt idx="2">
                  <c:v>ИСиТ 9,7%</c:v>
                </c:pt>
                <c:pt idx="3">
                  <c:v>ГФ 9,7%</c:v>
                </c:pt>
                <c:pt idx="4">
                  <c:v>ФФП 2%</c:v>
                </c:pt>
                <c:pt idx="5">
                  <c:v>ФЭУ 1,8%</c:v>
                </c:pt>
                <c:pt idx="6">
                  <c:v>ИВО 6,3%</c:v>
                </c:pt>
              </c:strCache>
            </c:strRef>
          </c:cat>
          <c:val>
            <c:numRef>
              <c:f>Факультет!$D$2:$D$8</c:f>
              <c:numCache>
                <c:formatCode>General</c:formatCode>
                <c:ptCount val="7"/>
                <c:pt idx="0">
                  <c:v>257</c:v>
                </c:pt>
                <c:pt idx="1">
                  <c:v>138</c:v>
                </c:pt>
                <c:pt idx="2">
                  <c:v>54</c:v>
                </c:pt>
                <c:pt idx="3">
                  <c:v>54</c:v>
                </c:pt>
                <c:pt idx="4">
                  <c:v>11</c:v>
                </c:pt>
                <c:pt idx="5">
                  <c:v>10</c:v>
                </c:pt>
                <c:pt idx="6">
                  <c:v>35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Здоровье!$C$2:$C$3</c:f>
              <c:strCache>
                <c:ptCount val="2"/>
                <c:pt idx="0">
                  <c:v>Да 25%</c:v>
                </c:pt>
                <c:pt idx="1">
                  <c:v>Нет 75%</c:v>
                </c:pt>
              </c:strCache>
            </c:strRef>
          </c:cat>
          <c:val>
            <c:numRef>
              <c:f>Здоровье!$D$2:$D$3</c:f>
              <c:numCache>
                <c:formatCode>General</c:formatCode>
                <c:ptCount val="2"/>
                <c:pt idx="0">
                  <c:v>140</c:v>
                </c:pt>
                <c:pt idx="1">
                  <c:v>419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Лист12!$C$5:$C$11</c:f>
              <c:strCache>
                <c:ptCount val="7"/>
                <c:pt idx="0">
                  <c:v>Проблемы с соседями 11,4%</c:v>
                </c:pt>
                <c:pt idx="1">
                  <c:v>Проблемы с администрацией общежития/хостела 6%</c:v>
                </c:pt>
                <c:pt idx="2">
                  <c:v>Проблемы с ремонтом 28,9%</c:v>
                </c:pt>
                <c:pt idx="3">
                  <c:v>Проблемы с привыканием к бытовым условиям общежития 44,3%</c:v>
                </c:pt>
                <c:pt idx="4">
                  <c:v>Материальные трудности 43,6%</c:v>
                </c:pt>
                <c:pt idx="5">
                  <c:v>Отсутствие кухни в общежитии "Лицейское" 6%</c:v>
                </c:pt>
                <c:pt idx="6">
                  <c:v>Тараканы 6%</c:v>
                </c:pt>
              </c:strCache>
            </c:strRef>
          </c:cat>
          <c:val>
            <c:numRef>
              <c:f>Лист12!$D$5:$D$11</c:f>
              <c:numCache>
                <c:formatCode>General</c:formatCode>
                <c:ptCount val="7"/>
                <c:pt idx="0">
                  <c:v>17</c:v>
                </c:pt>
                <c:pt idx="1">
                  <c:v>9</c:v>
                </c:pt>
                <c:pt idx="2">
                  <c:v>43</c:v>
                </c:pt>
                <c:pt idx="3">
                  <c:v>66</c:v>
                </c:pt>
                <c:pt idx="4">
                  <c:v>65</c:v>
                </c:pt>
                <c:pt idx="5">
                  <c:v>9</c:v>
                </c:pt>
                <c:pt idx="6">
                  <c:v>9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Проживание!$C$2:$C$8</c:f>
              <c:strCache>
                <c:ptCount val="7"/>
                <c:pt idx="0">
                  <c:v>Дома с родителями 30,1%</c:v>
                </c:pt>
                <c:pt idx="1">
                  <c:v>Один в собственной квартире 5,7%</c:v>
                </c:pt>
                <c:pt idx="2">
                  <c:v>В общежитии 23,4%</c:v>
                </c:pt>
                <c:pt idx="3">
                  <c:v>В хостеле/гостинице/мини-отеле 10,6%</c:v>
                </c:pt>
                <c:pt idx="4">
                  <c:v>Снимаю жилье частным образом 24,3%</c:v>
                </c:pt>
                <c:pt idx="5">
                  <c:v>У родственников/знакомых 4,5%</c:v>
                </c:pt>
                <c:pt idx="6">
                  <c:v>Другое 1,4%</c:v>
                </c:pt>
              </c:strCache>
            </c:strRef>
          </c:cat>
          <c:val>
            <c:numRef>
              <c:f>Проживание!$D$2:$D$8</c:f>
              <c:numCache>
                <c:formatCode>General</c:formatCode>
                <c:ptCount val="7"/>
                <c:pt idx="0">
                  <c:v>168</c:v>
                </c:pt>
                <c:pt idx="1">
                  <c:v>32</c:v>
                </c:pt>
                <c:pt idx="2">
                  <c:v>131</c:v>
                </c:pt>
                <c:pt idx="3">
                  <c:v>59</c:v>
                </c:pt>
                <c:pt idx="4">
                  <c:v>136</c:v>
                </c:pt>
                <c:pt idx="5">
                  <c:v>25</c:v>
                </c:pt>
                <c:pt idx="6">
                  <c:v>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Общежития!$C$2:$C$11</c:f>
              <c:strCache>
                <c:ptCount val="10"/>
                <c:pt idx="0">
                  <c:v>Общежитие «Лесное» 26,5%</c:v>
                </c:pt>
                <c:pt idx="1">
                  <c:v>Общежитие «Дальневосточное» 12,7%</c:v>
                </c:pt>
                <c:pt idx="2">
                  <c:v>Общежитие «Рыбацкое» 19,3%</c:v>
                </c:pt>
                <c:pt idx="3">
                  <c:v>Общежитие «Василеостровское» 3,6%</c:v>
                </c:pt>
                <c:pt idx="4">
                  <c:v>Общежитие «Лицейское» 24,1%</c:v>
                </c:pt>
                <c:pt idx="5">
                  <c:v>Хостел «Тайга» (Загородный пр., 21-23) 4,2%</c:v>
                </c:pt>
                <c:pt idx="6">
                  <c:v>Хостел «Андеграунд» (Вознесенский пр., 41) 4,8%</c:v>
                </c:pt>
                <c:pt idx="7">
                  <c:v>Хостел «Граффити» (Лиговский пр., 33-35) 2,4%</c:v>
                </c:pt>
                <c:pt idx="8">
                  <c:v>«Лэнд» (Загородный пр., 12) 0,6%</c:v>
                </c:pt>
                <c:pt idx="9">
                  <c:v>Хостел «Высшая лига» (Лиговский пр., 108) 1,8%</c:v>
                </c:pt>
              </c:strCache>
            </c:strRef>
          </c:cat>
          <c:val>
            <c:numRef>
              <c:f>Общежития!$D$2:$D$11</c:f>
              <c:numCache>
                <c:formatCode>General</c:formatCode>
                <c:ptCount val="10"/>
                <c:pt idx="0">
                  <c:v>44</c:v>
                </c:pt>
                <c:pt idx="1">
                  <c:v>21</c:v>
                </c:pt>
                <c:pt idx="2">
                  <c:v>32</c:v>
                </c:pt>
                <c:pt idx="3">
                  <c:v>6</c:v>
                </c:pt>
                <c:pt idx="4">
                  <c:v>40</c:v>
                </c:pt>
                <c:pt idx="5">
                  <c:v>7</c:v>
                </c:pt>
                <c:pt idx="6">
                  <c:v>8</c:v>
                </c:pt>
                <c:pt idx="7">
                  <c:v>4</c:v>
                </c:pt>
                <c:pt idx="8">
                  <c:v>1</c:v>
                </c:pt>
                <c:pt idx="9">
                  <c:v>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Лист4!$C$2:$C$4</c:f>
              <c:strCache>
                <c:ptCount val="3"/>
                <c:pt idx="0">
                  <c:v>Да 92,3%</c:v>
                </c:pt>
                <c:pt idx="1">
                  <c:v>Не совсем 7,3%</c:v>
                </c:pt>
                <c:pt idx="2">
                  <c:v>Нет 0,4%</c:v>
                </c:pt>
              </c:strCache>
            </c:strRef>
          </c:cat>
          <c:val>
            <c:numRef>
              <c:f>Лист4!$D$2:$D$4</c:f>
              <c:numCache>
                <c:formatCode>General</c:formatCode>
                <c:ptCount val="3"/>
                <c:pt idx="0">
                  <c:v>516</c:v>
                </c:pt>
                <c:pt idx="1">
                  <c:v>41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Лист5!$C$2:$C$5</c:f>
              <c:strCache>
                <c:ptCount val="4"/>
                <c:pt idx="0">
                  <c:v>Абсолютно комфортно 44,2%</c:v>
                </c:pt>
                <c:pt idx="1">
                  <c:v>Достаточно комфортно 51,7%</c:v>
                </c:pt>
                <c:pt idx="2">
                  <c:v>Недостаточно комфортно 3,8%</c:v>
                </c:pt>
                <c:pt idx="3">
                  <c:v>Совсем не комфортно 0,4%</c:v>
                </c:pt>
              </c:strCache>
            </c:strRef>
          </c:cat>
          <c:val>
            <c:numRef>
              <c:f>Лист5!$D$2:$D$5</c:f>
              <c:numCache>
                <c:formatCode>General</c:formatCode>
                <c:ptCount val="4"/>
                <c:pt idx="0">
                  <c:v>247</c:v>
                </c:pt>
                <c:pt idx="1">
                  <c:v>289</c:v>
                </c:pt>
                <c:pt idx="2">
                  <c:v>21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Лист6!$C$2:$C$5</c:f>
              <c:strCache>
                <c:ptCount val="4"/>
                <c:pt idx="0">
                  <c:v>Абсолютно комфортно 54,2%</c:v>
                </c:pt>
                <c:pt idx="1">
                  <c:v>Достаточно комфортно 41,7%</c:v>
                </c:pt>
                <c:pt idx="2">
                  <c:v>Недостаточно комфортно 3,9%</c:v>
                </c:pt>
                <c:pt idx="3">
                  <c:v>Совсем не комфортно 0,2%</c:v>
                </c:pt>
              </c:strCache>
            </c:strRef>
          </c:cat>
          <c:val>
            <c:numRef>
              <c:f>Лист6!$D$2:$D$5</c:f>
              <c:numCache>
                <c:formatCode>General</c:formatCode>
                <c:ptCount val="4"/>
                <c:pt idx="0">
                  <c:v>303</c:v>
                </c:pt>
                <c:pt idx="1">
                  <c:v>233</c:v>
                </c:pt>
                <c:pt idx="2">
                  <c:v>22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Лист7!$C$2:$C$4</c:f>
              <c:strCache>
                <c:ptCount val="3"/>
                <c:pt idx="0">
                  <c:v>Нет, уже привык 43,3%</c:v>
                </c:pt>
                <c:pt idx="1">
                  <c:v>Есть небольшие трудности, но постепенно привыкаю 54,2%</c:v>
                </c:pt>
                <c:pt idx="2">
                  <c:v>Очень трудно, никак не могу привыкнуть 2,5%</c:v>
                </c:pt>
              </c:strCache>
            </c:strRef>
          </c:cat>
          <c:val>
            <c:numRef>
              <c:f>Лист7!$D$2:$D$4</c:f>
              <c:numCache>
                <c:formatCode>General</c:formatCode>
                <c:ptCount val="3"/>
                <c:pt idx="0">
                  <c:v>242</c:v>
                </c:pt>
                <c:pt idx="1">
                  <c:v>303</c:v>
                </c:pt>
                <c:pt idx="2">
                  <c:v>14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Лист9!$C$2:$C$8</c:f>
              <c:strCache>
                <c:ptCount val="7"/>
                <c:pt idx="0">
                  <c:v>Оформление студенческого билета 1,7%</c:v>
                </c:pt>
                <c:pt idx="1">
                  <c:v>Оформление студенческой БСК для проезда в транспорте 29,2%</c:v>
                </c:pt>
                <c:pt idx="2">
                  <c:v>Оформление банковской карты для стипендии 15,4%</c:v>
                </c:pt>
                <c:pt idx="3">
                  <c:v>Оформление пропуска в университет 47,4%</c:v>
                </c:pt>
                <c:pt idx="4">
                  <c:v>Заселение в общежитие 35,3%</c:v>
                </c:pt>
                <c:pt idx="5">
                  <c:v>Организация быта в общежитии 9,1%</c:v>
                </c:pt>
                <c:pt idx="6">
                  <c:v>Регистрация и постановка на воинский учет 45,5%</c:v>
                </c:pt>
              </c:strCache>
            </c:strRef>
          </c:cat>
          <c:val>
            <c:numRef>
              <c:f>Лист9!$D$2:$D$8</c:f>
              <c:numCache>
                <c:formatCode>General</c:formatCode>
                <c:ptCount val="7"/>
                <c:pt idx="0">
                  <c:v>6</c:v>
                </c:pt>
                <c:pt idx="1">
                  <c:v>106</c:v>
                </c:pt>
                <c:pt idx="2">
                  <c:v>56</c:v>
                </c:pt>
                <c:pt idx="3">
                  <c:v>172</c:v>
                </c:pt>
                <c:pt idx="4">
                  <c:v>128</c:v>
                </c:pt>
                <c:pt idx="5">
                  <c:v>33</c:v>
                </c:pt>
                <c:pt idx="6">
                  <c:v>165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Питание!$C$2:$C$5</c:f>
              <c:strCache>
                <c:ptCount val="4"/>
                <c:pt idx="0">
                  <c:v>Дома 61,2%</c:v>
                </c:pt>
                <c:pt idx="1">
                  <c:v>В общежитии 25,2%</c:v>
                </c:pt>
                <c:pt idx="2">
                  <c:v>В университетской столовой 43,8%</c:v>
                </c:pt>
                <c:pt idx="3">
                  <c:v>В кафе 47,9%</c:v>
                </c:pt>
              </c:strCache>
            </c:strRef>
          </c:cat>
          <c:val>
            <c:numRef>
              <c:f>Питание!$D$2:$D$5</c:f>
              <c:numCache>
                <c:formatCode>General</c:formatCode>
                <c:ptCount val="4"/>
                <c:pt idx="0">
                  <c:v>342</c:v>
                </c:pt>
                <c:pt idx="1">
                  <c:v>141</c:v>
                </c:pt>
                <c:pt idx="2">
                  <c:v>245</c:v>
                </c:pt>
                <c:pt idx="3">
                  <c:v>268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Ураева</dc:creator>
  <cp:keywords/>
  <dc:description/>
  <cp:lastModifiedBy>Ураева</cp:lastModifiedBy>
  <cp:revision>15</cp:revision>
  <dcterms:created xsi:type="dcterms:W3CDTF">2016-09-29T09:13:00Z</dcterms:created>
  <dcterms:modified xsi:type="dcterms:W3CDTF">2016-09-29T11:54:00Z</dcterms:modified>
</cp:coreProperties>
</file>